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A98B" w14:textId="696FE3E3" w:rsidR="00AB3947" w:rsidRDefault="00AB3947" w:rsidP="00AB3947">
      <w:pPr>
        <w:pStyle w:val="paragraph"/>
        <w:spacing w:beforeAutospacing="0" w:afterAutospacing="0"/>
        <w:textAlignment w:val="baseline"/>
        <w:rPr>
          <w:rStyle w:val="normaltextrun"/>
          <w:rFonts w:ascii="Source Sans Pro" w:hAnsi="Source Sans Pro" w:cs="Segoe UI"/>
          <w:sz w:val="20"/>
          <w:szCs w:val="20"/>
          <w:lang w:val="en-GB"/>
        </w:rPr>
      </w:pPr>
      <w:r w:rsidRPr="00861594">
        <w:rPr>
          <w:rStyle w:val="normaltextrun"/>
          <w:rFonts w:ascii="Source Sans Pro" w:hAnsi="Source Sans Pro" w:cs="Segoe UI"/>
          <w:sz w:val="20"/>
          <w:szCs w:val="20"/>
          <w:lang w:val="en-GB"/>
        </w:rPr>
        <w:t>A technical leader with a pragmatic, inclusive and flexible problem-solving style who combines empirical and systems data, analytical thinking, and collaboration to reach outcomes that benefit diverse stakeholder groups.</w:t>
      </w:r>
      <w:r w:rsidR="00081C3A">
        <w:rPr>
          <w:rStyle w:val="normaltextrun"/>
          <w:rFonts w:ascii="Source Sans Pro" w:hAnsi="Source Sans Pro" w:cs="Segoe UI"/>
          <w:sz w:val="20"/>
          <w:szCs w:val="20"/>
          <w:lang w:val="en-GB"/>
        </w:rPr>
        <w:t xml:space="preserve"> </w:t>
      </w:r>
      <w:r>
        <w:rPr>
          <w:rStyle w:val="normaltextrun"/>
          <w:rFonts w:ascii="Source Sans Pro" w:hAnsi="Source Sans Pro" w:cs="Segoe UI"/>
          <w:sz w:val="20"/>
          <w:szCs w:val="20"/>
          <w:lang w:val="en-GB"/>
        </w:rPr>
        <w:t>Proven track record in translating complex processes and technical requirements into actionable change and driving insights and strategic decision making to improve efficiencies of operations teams.</w:t>
      </w:r>
    </w:p>
    <w:p w14:paraId="3F50258B" w14:textId="43D37DC2" w:rsidR="00AB3947" w:rsidRDefault="00AB3947" w:rsidP="00AB3947">
      <w:pPr>
        <w:pStyle w:val="paragraph"/>
        <w:spacing w:beforeAutospacing="0" w:afterAutospacing="0"/>
        <w:textAlignment w:val="baseline"/>
        <w:rPr>
          <w:rStyle w:val="normaltextrun"/>
          <w:rFonts w:ascii="Source Sans Pro" w:hAnsi="Source Sans Pro" w:cs="Segoe UI"/>
          <w:sz w:val="20"/>
          <w:szCs w:val="20"/>
          <w:lang w:val="en-GB"/>
        </w:rPr>
      </w:pPr>
      <w:r w:rsidRPr="00861594">
        <w:rPr>
          <w:rStyle w:val="normaltextrun"/>
          <w:rFonts w:ascii="Source Sans Pro" w:hAnsi="Source Sans Pro" w:cs="Segoe UI"/>
          <w:sz w:val="20"/>
          <w:szCs w:val="20"/>
          <w:lang w:val="en-GB"/>
        </w:rPr>
        <w:t xml:space="preserve">Experienced </w:t>
      </w:r>
      <w:r w:rsidR="00081C3A">
        <w:rPr>
          <w:rStyle w:val="normaltextrun"/>
          <w:rFonts w:ascii="Source Sans Pro" w:hAnsi="Source Sans Pro" w:cs="Segoe UI"/>
          <w:sz w:val="20"/>
          <w:szCs w:val="20"/>
          <w:lang w:val="en-GB"/>
        </w:rPr>
        <w:t xml:space="preserve">leading </w:t>
      </w:r>
      <w:r w:rsidR="00515F9B">
        <w:rPr>
          <w:rStyle w:val="normaltextrun"/>
          <w:rFonts w:ascii="Source Sans Pro" w:hAnsi="Source Sans Pro" w:cs="Segoe UI"/>
          <w:sz w:val="20"/>
          <w:szCs w:val="20"/>
          <w:lang w:val="en-GB"/>
        </w:rPr>
        <w:t xml:space="preserve">technical </w:t>
      </w:r>
      <w:r w:rsidR="00081C3A">
        <w:rPr>
          <w:rStyle w:val="normaltextrun"/>
          <w:rFonts w:ascii="Source Sans Pro" w:hAnsi="Source Sans Pro" w:cs="Segoe UI"/>
          <w:sz w:val="20"/>
          <w:szCs w:val="20"/>
          <w:lang w:val="en-GB"/>
        </w:rPr>
        <w:t xml:space="preserve">teams </w:t>
      </w:r>
      <w:r w:rsidRPr="00861594">
        <w:rPr>
          <w:rStyle w:val="normaltextrun"/>
          <w:rFonts w:ascii="Source Sans Pro" w:hAnsi="Source Sans Pro" w:cs="Segoe UI"/>
          <w:sz w:val="20"/>
          <w:szCs w:val="20"/>
          <w:lang w:val="en-GB"/>
        </w:rPr>
        <w:t>working with multinational clients</w:t>
      </w:r>
      <w:r>
        <w:rPr>
          <w:rStyle w:val="normaltextrun"/>
          <w:rFonts w:ascii="Source Sans Pro" w:hAnsi="Source Sans Pro" w:cs="Segoe UI"/>
          <w:sz w:val="20"/>
          <w:szCs w:val="20"/>
          <w:lang w:val="en-GB"/>
        </w:rPr>
        <w:t xml:space="preserve"> in</w:t>
      </w:r>
      <w:r w:rsidRPr="00861594">
        <w:rPr>
          <w:rStyle w:val="normaltextrun"/>
          <w:rFonts w:ascii="Source Sans Pro" w:hAnsi="Source Sans Pro" w:cs="Segoe UI"/>
          <w:sz w:val="20"/>
          <w:szCs w:val="20"/>
          <w:lang w:val="en-GB"/>
        </w:rPr>
        <w:t xml:space="preserve"> complex environments helping organisations to best leverage their data.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197"/>
        <w:gridCol w:w="3198"/>
      </w:tblGrid>
      <w:tr w:rsidR="0097707C" w14:paraId="3299BC3B" w14:textId="77777777" w:rsidTr="008A7D23">
        <w:tc>
          <w:tcPr>
            <w:tcW w:w="2621" w:type="dxa"/>
          </w:tcPr>
          <w:p w14:paraId="4B33B240" w14:textId="77777777" w:rsidR="0097707C" w:rsidRPr="00861594" w:rsidRDefault="0097707C" w:rsidP="0097707C">
            <w:pPr>
              <w:pStyle w:val="Heading3"/>
              <w:pBdr>
                <w:bottom w:val="single" w:sz="8" w:space="1" w:color="4472C4" w:themeColor="accent1"/>
              </w:pBd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 w:rsidRPr="00861594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Key Skills</w:t>
            </w:r>
          </w:p>
          <w:p w14:paraId="194A0E47" w14:textId="77777777" w:rsidR="0097707C" w:rsidRDefault="0097707C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Technical Leadership</w:t>
            </w:r>
          </w:p>
          <w:p w14:paraId="4DC24788" w14:textId="45174377" w:rsidR="0078134A" w:rsidRPr="0078134A" w:rsidRDefault="0078134A" w:rsidP="0078134A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Project Management</w:t>
            </w:r>
          </w:p>
          <w:p w14:paraId="686DD409" w14:textId="05EA5DE5" w:rsidR="0078134A" w:rsidRPr="0078134A" w:rsidRDefault="0078134A" w:rsidP="0078134A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Strategic Planning</w:t>
            </w:r>
          </w:p>
          <w:p w14:paraId="7A2740DB" w14:textId="61B92137" w:rsidR="0078134A" w:rsidRPr="0078134A" w:rsidRDefault="0078134A" w:rsidP="0078134A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Digital Innovation</w:t>
            </w:r>
          </w:p>
          <w:p w14:paraId="672411A1" w14:textId="74158F4C" w:rsidR="0097707C" w:rsidRPr="0036060D" w:rsidRDefault="0097707C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Solution Design</w:t>
            </w:r>
          </w:p>
          <w:p w14:paraId="7C28D0B4" w14:textId="018D3F39" w:rsidR="0097707C" w:rsidRDefault="0097707C" w:rsidP="0078134A">
            <w:pPr>
              <w:pStyle w:val="ListParagraph"/>
              <w:ind w:left="414"/>
            </w:pPr>
          </w:p>
        </w:tc>
        <w:tc>
          <w:tcPr>
            <w:tcW w:w="6395" w:type="dxa"/>
            <w:gridSpan w:val="2"/>
            <w:vMerge w:val="restart"/>
          </w:tcPr>
          <w:p w14:paraId="035FE1EE" w14:textId="77777777" w:rsidR="0097707C" w:rsidRPr="007C0415" w:rsidRDefault="0097707C" w:rsidP="0097707C">
            <w:pPr>
              <w:pStyle w:val="Heading3"/>
              <w:pBdr>
                <w:bottom w:val="single" w:sz="8" w:space="1" w:color="4472C4" w:themeColor="accent1"/>
              </w:pBd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 w:rsidRPr="007C0415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Recent Achievements</w:t>
            </w:r>
          </w:p>
          <w:p w14:paraId="2C80E4CF" w14:textId="5352E4EF" w:rsidR="00BA6B58" w:rsidRDefault="00BA6B58" w:rsidP="0097707C">
            <w:pPr>
              <w:pStyle w:val="paragraph"/>
              <w:spacing w:before="200" w:beforeAutospacing="0" w:after="0" w:afterAutospacing="0"/>
              <w:textAlignment w:val="baseline"/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Represented MIS offering </w:t>
            </w:r>
            <w:r w:rsidRPr="00362E5F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during</w:t>
            </w: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A6B58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the successful renewal of the WoAG contract</w:t>
            </w: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, </w:t>
            </w:r>
            <w:r w:rsidR="00B307CE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tailoring </w:t>
            </w:r>
            <w:r w:rsidR="00C25B63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system </w:t>
            </w:r>
            <w:r w:rsidR="00B307CE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design to </w:t>
            </w:r>
            <w:r w:rsidR="00C25B63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tender requirements.</w:t>
            </w:r>
          </w:p>
          <w:p w14:paraId="106B110D" w14:textId="3C4B210E" w:rsidR="0097707C" w:rsidRPr="007C0415" w:rsidRDefault="0097707C" w:rsidP="005073DB">
            <w:pPr>
              <w:pStyle w:val="paragraph"/>
              <w:spacing w:before="200" w:beforeAutospacing="0" w:after="0" w:afterAutospacing="0"/>
              <w:textAlignment w:val="baseline"/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Authored </w:t>
            </w:r>
            <w:r w:rsidR="00B34B76"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BI delivery </w:t>
            </w: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processes </w:t>
            </w: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across Tableau, Alteryx,</w:t>
            </w:r>
            <w:r w:rsidR="00B34B76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MSSQL</w:t>
            </w: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</w:t>
            </w:r>
            <w:r w:rsidR="00523753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and </w:t>
            </w: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Databricks</w:t>
            </w:r>
            <w:r w:rsidR="000B7413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leveraging version control and CI/CD </w:t>
            </w:r>
            <w:r w:rsidR="002F107E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in Azure DevOps, </w:t>
            </w:r>
            <w:r w:rsidR="00844CC4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currently</w:t>
            </w:r>
            <w:r w:rsidR="005073DB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being rolled out globally.</w:t>
            </w:r>
          </w:p>
          <w:p w14:paraId="7679CBED" w14:textId="1621E722" w:rsidR="0097707C" w:rsidRDefault="0097707C" w:rsidP="0097707C">
            <w:pPr>
              <w:pStyle w:val="paragraph"/>
              <w:spacing w:before="200" w:beforeAutospacing="0" w:after="0" w:afterAutospacing="0"/>
              <w:textAlignment w:val="baseline"/>
              <w:rPr>
                <w:rStyle w:val="normaltextrun"/>
                <w:rFonts w:ascii="Source Sans Pro" w:hAnsi="Source Sans Pro" w:cs="Segoe UI"/>
                <w:noProof/>
                <w:sz w:val="20"/>
                <w:szCs w:val="20"/>
                <w:lang w:val="en-GB"/>
              </w:rPr>
            </w:pPr>
            <w:r w:rsidRPr="00C251F4">
              <w:rPr>
                <w:rStyle w:val="normaltextrun"/>
                <w:rFonts w:ascii="Source Sans Pro" w:hAnsi="Source Sans Pro" w:cs="Segoe UI"/>
                <w:b/>
                <w:bCs/>
                <w:noProof/>
                <w:sz w:val="20"/>
                <w:szCs w:val="20"/>
                <w:lang w:val="en-GB"/>
              </w:rPr>
              <w:t>Scoped, developed, and deployed data governance framework</w:t>
            </w:r>
            <w:r w:rsidRPr="00C251F4">
              <w:rPr>
                <w:rStyle w:val="normaltextrun"/>
                <w:rFonts w:ascii="Source Sans Pro" w:hAnsi="Source Sans Pro" w:cs="Segoe UI"/>
                <w:noProof/>
                <w:sz w:val="20"/>
                <w:szCs w:val="20"/>
                <w:lang w:val="en-GB"/>
              </w:rPr>
              <w:t xml:space="preserve"> for </w:t>
            </w:r>
            <w:r w:rsidR="001B613A">
              <w:rPr>
                <w:rStyle w:val="normaltextrun"/>
                <w:rFonts w:ascii="Source Sans Pro" w:hAnsi="Source Sans Pro" w:cs="Segoe UI"/>
                <w:noProof/>
                <w:sz w:val="20"/>
                <w:szCs w:val="20"/>
                <w:lang w:val="en-GB"/>
              </w:rPr>
              <w:t>management</w:t>
            </w:r>
            <w:r w:rsidRPr="00C251F4">
              <w:rPr>
                <w:rStyle w:val="normaltextrun"/>
                <w:rFonts w:ascii="Source Sans Pro" w:hAnsi="Source Sans Pro" w:cs="Segoe UI"/>
                <w:noProof/>
                <w:sz w:val="20"/>
                <w:szCs w:val="20"/>
                <w:lang w:val="en-GB"/>
              </w:rPr>
              <w:t xml:space="preserve"> of all non-system data to elevate data quality and improve trust in data products, adopted across APAC</w:t>
            </w:r>
            <w:r>
              <w:rPr>
                <w:rStyle w:val="normaltextrun"/>
                <w:rFonts w:ascii="Source Sans Pro" w:hAnsi="Source Sans Pro" w:cs="Segoe UI"/>
                <w:noProof/>
                <w:sz w:val="20"/>
                <w:szCs w:val="20"/>
                <w:lang w:val="en-GB"/>
              </w:rPr>
              <w:t>.</w:t>
            </w:r>
          </w:p>
          <w:p w14:paraId="399149BF" w14:textId="77777777" w:rsidR="0097707C" w:rsidRDefault="0097707C" w:rsidP="0097707C">
            <w:pPr>
              <w:pStyle w:val="paragraph"/>
              <w:spacing w:before="200" w:beforeAutospacing="0" w:after="0" w:afterAutospacing="0"/>
              <w:textAlignment w:val="baseline"/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 w:rsidRPr="007C0415"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Lead deployment of extensible data model </w:t>
            </w:r>
            <w:r w:rsidRPr="007C0415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for Defence with a hybrid delivery team of consultants, internal BI resources, and external non-technical stakeholders</w:t>
            </w: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using TOGAF framework.</w:t>
            </w:r>
          </w:p>
          <w:p w14:paraId="15C6E79A" w14:textId="77777777" w:rsidR="0097707C" w:rsidRDefault="0097707C" w:rsidP="0097707C">
            <w:pPr>
              <w:pStyle w:val="paragraph"/>
              <w:spacing w:before="200" w:beforeAutospacing="0" w:after="0" w:afterAutospacing="0"/>
              <w:textAlignment w:val="baseline"/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Email automation via ML and O365 API </w:t>
            </w:r>
            <w:r w:rsidRPr="007C0415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leveraging</w:t>
            </w: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term aggregation and </w:t>
            </w: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br/>
              <w:t>k-means to assist in triage of shared inboxes, directing emails to each appropriate department, saving over 4 hours of effort daily. Planned adoption globally at JLL.</w:t>
            </w:r>
          </w:p>
          <w:p w14:paraId="0AAFAFCD" w14:textId="535BA629" w:rsidR="0097707C" w:rsidRDefault="005C3EA8" w:rsidP="0097707C">
            <w:pPr>
              <w:pStyle w:val="paragraph"/>
              <w:spacing w:before="200" w:beforeAutospacing="0" w:after="0" w:afterAutospacing="0"/>
              <w:textAlignment w:val="baseline"/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Developed </w:t>
            </w:r>
            <w:r w:rsidR="0097707C" w:rsidRPr="00FD6592"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PII Identification and removal </w:t>
            </w:r>
            <w:r w:rsidR="0097707C"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service</w:t>
            </w:r>
            <w:r w:rsidR="0097707C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leveraging Vision Transformers model to detect PII (faces, licence plates, and lanyards) and remove them via OpenCV with Flet web interface.</w:t>
            </w:r>
          </w:p>
          <w:p w14:paraId="10F80F70" w14:textId="77777777" w:rsidR="0097707C" w:rsidRDefault="0097707C" w:rsidP="0097707C">
            <w:pPr>
              <w:pStyle w:val="paragraph"/>
              <w:spacing w:before="200" w:beforeAutospacing="0" w:after="0" w:afterAutospacing="0"/>
              <w:textAlignment w:val="baseline"/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Portfolio </w:t>
            </w:r>
            <w:r w:rsidRPr="00C37711"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Benchmarking Dashboard</w:t>
            </w: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across the WoAG portfolio, centralizing key metrics across sustainability, facilities management, leasing, and external benchmarking sources to characterize financial performance of properties.</w:t>
            </w:r>
          </w:p>
          <w:p w14:paraId="44DB780F" w14:textId="658BE6B9" w:rsidR="0097707C" w:rsidRPr="0097707C" w:rsidRDefault="0097707C" w:rsidP="0097707C">
            <w:pPr>
              <w:pStyle w:val="paragraph"/>
              <w:spacing w:before="200" w:beforeAutospacing="0" w:after="0" w:afterAutospacing="0"/>
              <w:textAlignment w:val="baseline"/>
              <w:rPr>
                <w:rFonts w:ascii="Source Sans Pro" w:hAnsi="Source Sans Pro" w:cs="Segoe UI"/>
                <w:sz w:val="20"/>
                <w:szCs w:val="20"/>
                <w:lang w:val="en-GB"/>
              </w:rPr>
            </w:pPr>
            <w:r w:rsidRPr="00987A86"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Statutory Compliance Dashboard</w:t>
            </w: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delivered in cooperation with the facilities teams, inclusive of process authoring, training, and change management.</w:t>
            </w:r>
            <w:r w:rsidR="00BE2E00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br/>
            </w:r>
          </w:p>
        </w:tc>
      </w:tr>
      <w:tr w:rsidR="0097707C" w14:paraId="017E6C23" w14:textId="77777777" w:rsidTr="008A7D23">
        <w:tc>
          <w:tcPr>
            <w:tcW w:w="2621" w:type="dxa"/>
          </w:tcPr>
          <w:p w14:paraId="5E5C56A5" w14:textId="77777777" w:rsidR="0097707C" w:rsidRPr="00861594" w:rsidRDefault="0097707C" w:rsidP="0097707C">
            <w:pPr>
              <w:pStyle w:val="Heading3"/>
              <w:pBdr>
                <w:bottom w:val="single" w:sz="8" w:space="1" w:color="4472C4" w:themeColor="accent1"/>
              </w:pBd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 w:rsidRPr="00861594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Technical Skills</w:t>
            </w:r>
          </w:p>
          <w:p w14:paraId="1774D06F" w14:textId="77777777" w:rsidR="0097707C" w:rsidRPr="0036060D" w:rsidRDefault="0097707C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SQL</w:t>
            </w:r>
          </w:p>
          <w:p w14:paraId="776CF9A7" w14:textId="77777777" w:rsidR="0097707C" w:rsidRPr="0036060D" w:rsidRDefault="0097707C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Python</w:t>
            </w:r>
          </w:p>
          <w:p w14:paraId="2AB278E0" w14:textId="77777777" w:rsidR="0097707C" w:rsidRPr="0036060D" w:rsidRDefault="0097707C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Alteryx</w:t>
            </w:r>
          </w:p>
          <w:p w14:paraId="1BD3F0EF" w14:textId="77777777" w:rsidR="0097707C" w:rsidRPr="0036060D" w:rsidRDefault="0097707C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Tableau</w:t>
            </w:r>
          </w:p>
          <w:p w14:paraId="2CCEC636" w14:textId="77777777" w:rsidR="0097707C" w:rsidRDefault="0097707C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Databricks</w:t>
            </w:r>
          </w:p>
          <w:p w14:paraId="21543ECB" w14:textId="0ADBE280" w:rsidR="008A7D23" w:rsidRDefault="008A7D23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Scripting &amp; Automation</w:t>
            </w:r>
          </w:p>
          <w:p w14:paraId="29FF2AC3" w14:textId="083E00B1" w:rsidR="008A7D23" w:rsidRDefault="008A7D23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Data Vault &amp; Modelling</w:t>
            </w:r>
          </w:p>
          <w:p w14:paraId="196CD234" w14:textId="77777777" w:rsidR="0097707C" w:rsidRPr="0036060D" w:rsidRDefault="0097707C" w:rsidP="0097707C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36060D">
              <w:rPr>
                <w:rFonts w:ascii="Source Sans Pro" w:hAnsi="Source Sans Pro"/>
                <w:sz w:val="20"/>
                <w:szCs w:val="20"/>
              </w:rPr>
              <w:t>Linux sys admin</w:t>
            </w:r>
          </w:p>
          <w:p w14:paraId="132BACA0" w14:textId="1208E397" w:rsidR="008A7D23" w:rsidRPr="008A7D23" w:rsidRDefault="008A7D23" w:rsidP="00C7328F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 w:rsidRPr="00C7328F">
              <w:rPr>
                <w:rFonts w:ascii="Source Sans Pro" w:hAnsi="Source Sans Pro"/>
                <w:sz w:val="20"/>
                <w:szCs w:val="20"/>
              </w:rPr>
              <w:t>Container Orchestration</w:t>
            </w:r>
          </w:p>
          <w:p w14:paraId="59371F0F" w14:textId="7CD0EBA9" w:rsidR="00362E5F" w:rsidRPr="00DF0D13" w:rsidRDefault="008A7D23" w:rsidP="00DF0D1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System Lifecycle Management</w:t>
            </w:r>
          </w:p>
          <w:p w14:paraId="3E32D049" w14:textId="3589FF34" w:rsidR="008A7D23" w:rsidRPr="008A7D23" w:rsidRDefault="008A7D23" w:rsidP="008A7D23">
            <w:pP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</w:p>
        </w:tc>
        <w:tc>
          <w:tcPr>
            <w:tcW w:w="6395" w:type="dxa"/>
            <w:gridSpan w:val="2"/>
            <w:vMerge/>
          </w:tcPr>
          <w:p w14:paraId="3E6D4860" w14:textId="77777777" w:rsidR="0097707C" w:rsidRDefault="0097707C"/>
        </w:tc>
      </w:tr>
      <w:tr w:rsidR="008A7D23" w14:paraId="1BDA6AB3" w14:textId="77777777" w:rsidTr="008A7D23">
        <w:trPr>
          <w:trHeight w:val="307"/>
        </w:trPr>
        <w:tc>
          <w:tcPr>
            <w:tcW w:w="2621" w:type="dxa"/>
            <w:vMerge w:val="restart"/>
          </w:tcPr>
          <w:p w14:paraId="46A53945" w14:textId="77777777" w:rsidR="008A7D23" w:rsidRPr="00FD6592" w:rsidRDefault="008A7D23" w:rsidP="0097707C">
            <w:pPr>
              <w:pStyle w:val="Heading3"/>
              <w:pBdr>
                <w:bottom w:val="single" w:sz="8" w:space="1" w:color="4472C4" w:themeColor="accent1"/>
              </w:pBd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 w:rsidRPr="00FD6592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Contact</w:t>
            </w:r>
          </w:p>
          <w:tbl>
            <w:tblPr>
              <w:tblStyle w:val="TableGrid"/>
              <w:tblW w:w="24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3"/>
              <w:gridCol w:w="1882"/>
            </w:tblGrid>
            <w:tr w:rsidR="008A7D23" w14:paraId="3E29603A" w14:textId="77777777" w:rsidTr="00D9452B">
              <w:trPr>
                <w:trHeight w:val="57"/>
              </w:trPr>
              <w:tc>
                <w:tcPr>
                  <w:tcW w:w="421" w:type="dxa"/>
                  <w:vAlign w:val="center"/>
                </w:tcPr>
                <w:p w14:paraId="4B92D6B2" w14:textId="77777777" w:rsidR="008A7D23" w:rsidRDefault="008A7D23" w:rsidP="0097707C">
                  <w:r>
                    <w:rPr>
                      <w:noProof/>
                    </w:rPr>
                    <w:drawing>
                      <wp:inline distT="0" distB="0" distL="0" distR="0" wp14:anchorId="23036942" wp14:editId="54E9BB8D">
                        <wp:extent cx="169137" cy="169137"/>
                        <wp:effectExtent l="0" t="0" r="2540" b="2540"/>
                        <wp:docPr id="5" name="Graphic 5" descr="Speaker phon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phic 5" descr="Speaker phone with solid fill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784" cy="171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4" w:type="dxa"/>
                  <w:vAlign w:val="center"/>
                </w:tcPr>
                <w:p w14:paraId="5B434134" w14:textId="77777777" w:rsidR="008A7D23" w:rsidRPr="009C19C6" w:rsidRDefault="008A7D23" w:rsidP="0097707C">
                  <w:pPr>
                    <w:spacing w:line="259" w:lineRule="auto"/>
                    <w:rPr>
                      <w:sz w:val="16"/>
                      <w:szCs w:val="16"/>
                    </w:rPr>
                  </w:pPr>
                  <w:r w:rsidRPr="009C19C6">
                    <w:rPr>
                      <w:sz w:val="16"/>
                      <w:szCs w:val="16"/>
                    </w:rPr>
                    <w:t>+61 4</w:t>
                  </w:r>
                  <w:r>
                    <w:rPr>
                      <w:sz w:val="16"/>
                      <w:szCs w:val="16"/>
                    </w:rPr>
                    <w:t>11</w:t>
                  </w:r>
                  <w:r w:rsidRPr="009C19C6">
                    <w:rPr>
                      <w:sz w:val="16"/>
                      <w:szCs w:val="16"/>
                    </w:rPr>
                    <w:t xml:space="preserve"> 490 424</w:t>
                  </w:r>
                </w:p>
              </w:tc>
            </w:tr>
            <w:tr w:rsidR="008A7D23" w14:paraId="77CA1EC6" w14:textId="77777777" w:rsidTr="00D9452B">
              <w:trPr>
                <w:trHeight w:val="57"/>
              </w:trPr>
              <w:tc>
                <w:tcPr>
                  <w:tcW w:w="421" w:type="dxa"/>
                  <w:vAlign w:val="center"/>
                </w:tcPr>
                <w:p w14:paraId="545D5FF8" w14:textId="77777777" w:rsidR="008A7D23" w:rsidRDefault="008A7D23" w:rsidP="0097707C">
                  <w:r>
                    <w:rPr>
                      <w:noProof/>
                    </w:rPr>
                    <w:drawing>
                      <wp:inline distT="0" distB="0" distL="0" distR="0" wp14:anchorId="25CD015E" wp14:editId="44BA3144">
                        <wp:extent cx="195565" cy="195565"/>
                        <wp:effectExtent l="0" t="0" r="0" b="0"/>
                        <wp:docPr id="4" name="Graphic 4" descr="Mailbox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 descr="Mailbox with solid fill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780" cy="202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4" w:type="dxa"/>
                  <w:vAlign w:val="center"/>
                </w:tcPr>
                <w:p w14:paraId="1D379133" w14:textId="77777777" w:rsidR="008A7D23" w:rsidRPr="009C19C6" w:rsidRDefault="00B7347B" w:rsidP="0097707C">
                  <w:pPr>
                    <w:spacing w:line="259" w:lineRule="auto"/>
                    <w:rPr>
                      <w:sz w:val="16"/>
                      <w:szCs w:val="16"/>
                    </w:rPr>
                  </w:pPr>
                  <w:hyperlink r:id="rId11" w:history="1">
                    <w:r w:rsidR="008A7D23" w:rsidRPr="009C19C6">
                      <w:rPr>
                        <w:rStyle w:val="Hyperlink"/>
                        <w:sz w:val="16"/>
                        <w:szCs w:val="16"/>
                      </w:rPr>
                      <w:t>casey.morter@gmail.com</w:t>
                    </w:r>
                  </w:hyperlink>
                </w:p>
              </w:tc>
            </w:tr>
            <w:tr w:rsidR="008A7D23" w14:paraId="1B6CA21E" w14:textId="77777777" w:rsidTr="00D9452B">
              <w:trPr>
                <w:trHeight w:val="57"/>
              </w:trPr>
              <w:tc>
                <w:tcPr>
                  <w:tcW w:w="421" w:type="dxa"/>
                  <w:vAlign w:val="center"/>
                </w:tcPr>
                <w:p w14:paraId="200B9C8D" w14:textId="77777777" w:rsidR="008A7D23" w:rsidRDefault="008A7D23" w:rsidP="0097707C">
                  <w:r>
                    <w:rPr>
                      <w:noProof/>
                    </w:rPr>
                    <w:drawing>
                      <wp:inline distT="0" distB="0" distL="0" distR="0" wp14:anchorId="3600C76F" wp14:editId="56EFBCF9">
                        <wp:extent cx="190280" cy="190280"/>
                        <wp:effectExtent l="0" t="0" r="635" b="635"/>
                        <wp:docPr id="7" name="Picture 7" descr="Linkedin icon - Free download on Iconfin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inkedin icon - Free download on Iconfin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045" cy="19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4" w:type="dxa"/>
                  <w:vAlign w:val="center"/>
                </w:tcPr>
                <w:p w14:paraId="78818232" w14:textId="77777777" w:rsidR="008A7D23" w:rsidRPr="009C19C6" w:rsidRDefault="00B7347B" w:rsidP="0097707C">
                  <w:pPr>
                    <w:spacing w:line="259" w:lineRule="auto"/>
                    <w:rPr>
                      <w:sz w:val="16"/>
                      <w:szCs w:val="16"/>
                    </w:rPr>
                  </w:pPr>
                  <w:hyperlink r:id="rId13" w:history="1">
                    <w:proofErr w:type="spellStart"/>
                    <w:r w:rsidR="008A7D23" w:rsidRPr="00914CDB">
                      <w:rPr>
                        <w:rStyle w:val="Hyperlink"/>
                        <w:sz w:val="16"/>
                        <w:szCs w:val="16"/>
                      </w:rPr>
                      <w:t>Linkedin</w:t>
                    </w:r>
                    <w:proofErr w:type="spellEnd"/>
                  </w:hyperlink>
                </w:p>
              </w:tc>
            </w:tr>
            <w:tr w:rsidR="008A7D23" w14:paraId="35D40CFF" w14:textId="77777777" w:rsidTr="00D9452B">
              <w:trPr>
                <w:trHeight w:val="57"/>
              </w:trPr>
              <w:tc>
                <w:tcPr>
                  <w:tcW w:w="421" w:type="dxa"/>
                  <w:vAlign w:val="center"/>
                </w:tcPr>
                <w:p w14:paraId="31940662" w14:textId="77777777" w:rsidR="008A7D23" w:rsidRDefault="008A7D23" w:rsidP="0097707C">
                  <w:r>
                    <w:rPr>
                      <w:noProof/>
                    </w:rPr>
                    <w:drawing>
                      <wp:inline distT="0" distB="0" distL="0" distR="0" wp14:anchorId="46317985" wp14:editId="730FADB8">
                        <wp:extent cx="189865" cy="189865"/>
                        <wp:effectExtent l="0" t="0" r="0" b="635"/>
                        <wp:docPr id="1" name="Graphic 1" descr="Marker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 descr="Marker with solid fill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210" cy="192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4" w:type="dxa"/>
                  <w:vAlign w:val="center"/>
                </w:tcPr>
                <w:p w14:paraId="16C59AE5" w14:textId="77777777" w:rsidR="008A7D23" w:rsidRPr="009C19C6" w:rsidRDefault="008A7D23" w:rsidP="0097707C">
                  <w:pPr>
                    <w:spacing w:line="259" w:lineRule="auto"/>
                    <w:rPr>
                      <w:sz w:val="16"/>
                      <w:szCs w:val="16"/>
                    </w:rPr>
                  </w:pPr>
                  <w:r w:rsidRPr="009C19C6">
                    <w:rPr>
                      <w:sz w:val="16"/>
                      <w:szCs w:val="16"/>
                    </w:rPr>
                    <w:t>Melbourne, Australia</w:t>
                  </w:r>
                </w:p>
              </w:tc>
            </w:tr>
          </w:tbl>
          <w:p w14:paraId="163CFB1D" w14:textId="77777777" w:rsidR="008A7D23" w:rsidRPr="00FD6592" w:rsidRDefault="008A7D23" w:rsidP="0097707C">
            <w:pPr>
              <w:pStyle w:val="Heading3"/>
              <w:pBdr>
                <w:bottom w:val="single" w:sz="8" w:space="1" w:color="4472C4" w:themeColor="accent1"/>
              </w:pBd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</w:p>
        </w:tc>
        <w:tc>
          <w:tcPr>
            <w:tcW w:w="6395" w:type="dxa"/>
            <w:gridSpan w:val="2"/>
          </w:tcPr>
          <w:p w14:paraId="37A6FA3B" w14:textId="19A2039E" w:rsidR="008A7D23" w:rsidRPr="008A7D23" w:rsidRDefault="008A7D23" w:rsidP="008A7D23">
            <w:pPr>
              <w:pStyle w:val="Heading3"/>
              <w:pBdr>
                <w:bottom w:val="single" w:sz="8" w:space="1" w:color="4472C4" w:themeColor="accent1"/>
              </w:pBd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R</w:t>
            </w:r>
            <w:r w:rsidRPr="008A7D23"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>eferences</w:t>
            </w:r>
          </w:p>
        </w:tc>
      </w:tr>
      <w:tr w:rsidR="008A7D23" w14:paraId="72000A35" w14:textId="77777777" w:rsidTr="008A7D23">
        <w:trPr>
          <w:trHeight w:val="686"/>
        </w:trPr>
        <w:tc>
          <w:tcPr>
            <w:tcW w:w="2621" w:type="dxa"/>
            <w:vMerge/>
          </w:tcPr>
          <w:p w14:paraId="771DBEAB" w14:textId="77777777" w:rsidR="008A7D23" w:rsidRPr="00861594" w:rsidRDefault="008A7D23" w:rsidP="0097707C">
            <w:pPr>
              <w:pStyle w:val="Heading3"/>
              <w:pBdr>
                <w:bottom w:val="single" w:sz="8" w:space="1" w:color="4472C4" w:themeColor="accent1"/>
              </w:pBd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</w:p>
        </w:tc>
        <w:tc>
          <w:tcPr>
            <w:tcW w:w="3197" w:type="dxa"/>
          </w:tcPr>
          <w:p w14:paraId="54D34C3A" w14:textId="77777777" w:rsidR="008A7D23" w:rsidRPr="000A5D3A" w:rsidRDefault="008A7D23" w:rsidP="0097707C">
            <w:pPr>
              <w:rPr>
                <w:rStyle w:val="normaltextrun"/>
                <w:rFonts w:ascii="Source Sans Pro" w:eastAsia="Times New Roman" w:hAnsi="Source Sans Pro" w:cs="Segoe UI"/>
                <w:b/>
                <w:bCs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Style w:val="normaltextrun"/>
                <w:rFonts w:ascii="Source Sans Pro" w:eastAsia="Times New Roman" w:hAnsi="Source Sans Pro" w:cs="Segoe UI"/>
                <w:b/>
                <w:bCs/>
                <w:kern w:val="0"/>
                <w:sz w:val="20"/>
                <w:szCs w:val="20"/>
                <w:lang w:val="en-GB" w:eastAsia="zh-CN"/>
                <w14:ligatures w14:val="none"/>
              </w:rPr>
              <w:t>Trent Morrissey</w:t>
            </w:r>
            <w:r w:rsidRPr="000A5D3A">
              <w:rPr>
                <w:rStyle w:val="normaltextrun"/>
                <w:rFonts w:ascii="Source Sans Pro" w:eastAsia="Times New Roman" w:hAnsi="Source Sans Pro" w:cs="Segoe UI"/>
                <w:b/>
                <w:bCs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(JLL)</w:t>
            </w:r>
          </w:p>
          <w:p w14:paraId="49202376" w14:textId="77777777" w:rsidR="008A7D23" w:rsidRPr="00FD6592" w:rsidRDefault="008A7D23" w:rsidP="0097707C">
            <w:pPr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Executive Director</w:t>
            </w:r>
            <w:r w:rsidRPr="00FD6592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, </w:t>
            </w:r>
            <w:r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br/>
              <w:t>WoAG Account</w:t>
            </w:r>
          </w:p>
          <w:p w14:paraId="0B7E16EC" w14:textId="70FD5043" w:rsidR="008A7D23" w:rsidRDefault="008A7D23" w:rsidP="0097707C">
            <w:r w:rsidRPr="00FD6592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+61 (0) </w:t>
            </w:r>
            <w:r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438 251 651</w:t>
            </w:r>
          </w:p>
        </w:tc>
        <w:tc>
          <w:tcPr>
            <w:tcW w:w="3198" w:type="dxa"/>
          </w:tcPr>
          <w:p w14:paraId="14A19CBC" w14:textId="77777777" w:rsidR="008A7D23" w:rsidRPr="000A5D3A" w:rsidRDefault="008A7D23" w:rsidP="0097707C">
            <w:pPr>
              <w:rPr>
                <w:rStyle w:val="normaltextrun"/>
                <w:rFonts w:ascii="Source Sans Pro" w:eastAsia="Times New Roman" w:hAnsi="Source Sans Pro" w:cs="Segoe UI"/>
                <w:b/>
                <w:bCs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0A5D3A">
              <w:rPr>
                <w:rStyle w:val="normaltextrun"/>
                <w:rFonts w:ascii="Source Sans Pro" w:eastAsia="Times New Roman" w:hAnsi="Source Sans Pro" w:cs="Segoe UI"/>
                <w:b/>
                <w:bCs/>
                <w:kern w:val="0"/>
                <w:sz w:val="20"/>
                <w:szCs w:val="20"/>
                <w:lang w:val="en-GB" w:eastAsia="zh-CN"/>
                <w14:ligatures w14:val="none"/>
              </w:rPr>
              <w:t>George Panas (</w:t>
            </w:r>
            <w:proofErr w:type="spellStart"/>
            <w:r w:rsidRPr="000A5D3A">
              <w:rPr>
                <w:rStyle w:val="normaltextrun"/>
                <w:rFonts w:ascii="Source Sans Pro" w:eastAsia="Times New Roman" w:hAnsi="Source Sans Pro" w:cs="Segoe UI"/>
                <w:b/>
                <w:bCs/>
                <w:kern w:val="0"/>
                <w:sz w:val="20"/>
                <w:szCs w:val="20"/>
                <w:lang w:val="en-GB" w:eastAsia="zh-CN"/>
                <w14:ligatures w14:val="none"/>
              </w:rPr>
              <w:t>nbn</w:t>
            </w:r>
            <w:proofErr w:type="spellEnd"/>
            <w:r w:rsidRPr="000A5D3A">
              <w:rPr>
                <w:rStyle w:val="normaltextrun"/>
                <w:rFonts w:ascii="Source Sans Pro" w:eastAsia="Times New Roman" w:hAnsi="Source Sans Pro" w:cs="Segoe UI"/>
                <w:b/>
                <w:bCs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co)</w:t>
            </w:r>
          </w:p>
          <w:p w14:paraId="17069F42" w14:textId="77777777" w:rsidR="008A7D23" w:rsidRPr="00FD6592" w:rsidRDefault="008A7D23" w:rsidP="0097707C">
            <w:pPr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FD6592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General Manager of Optimization</w:t>
            </w:r>
          </w:p>
          <w:p w14:paraId="74185AF9" w14:textId="77777777" w:rsidR="008A7D23" w:rsidRDefault="008A7D23" w:rsidP="0097707C">
            <w:pPr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FD6592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+61 (0) 402 894 202</w:t>
            </w:r>
          </w:p>
          <w:p w14:paraId="4B28A99F" w14:textId="5E30A6DB" w:rsidR="008A7D23" w:rsidRDefault="008A7D23"/>
        </w:tc>
      </w:tr>
      <w:tr w:rsidR="008A7D23" w14:paraId="2FA5CB79" w14:textId="77777777" w:rsidTr="008A7D23">
        <w:trPr>
          <w:trHeight w:val="686"/>
        </w:trPr>
        <w:tc>
          <w:tcPr>
            <w:tcW w:w="2621" w:type="dxa"/>
            <w:vMerge/>
          </w:tcPr>
          <w:p w14:paraId="6E27D0D4" w14:textId="77777777" w:rsidR="008A7D23" w:rsidRPr="00FD6592" w:rsidRDefault="008A7D23" w:rsidP="0097707C">
            <w:pPr>
              <w:pStyle w:val="Heading3"/>
              <w:pBdr>
                <w:bottom w:val="single" w:sz="8" w:space="1" w:color="4472C4" w:themeColor="accent1"/>
              </w:pBd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</w:pPr>
          </w:p>
        </w:tc>
        <w:tc>
          <w:tcPr>
            <w:tcW w:w="3197" w:type="dxa"/>
          </w:tcPr>
          <w:p w14:paraId="6714F746" w14:textId="77777777" w:rsidR="008A7D23" w:rsidRPr="0097707C" w:rsidRDefault="008A7D23">
            <w:pPr>
              <w:rPr>
                <w:b/>
                <w:bCs/>
              </w:rPr>
            </w:pPr>
            <w:r w:rsidRPr="0097707C">
              <w:rPr>
                <w:b/>
                <w:bCs/>
              </w:rPr>
              <w:t>Kevin Star (JLL)</w:t>
            </w:r>
          </w:p>
          <w:p w14:paraId="407380B7" w14:textId="77777777" w:rsidR="008A7D23" w:rsidRDefault="008A7D23">
            <w:r>
              <w:t>Regional Operations Director</w:t>
            </w:r>
          </w:p>
          <w:p w14:paraId="3D2C0E62" w14:textId="46594455" w:rsidR="008A7D23" w:rsidRDefault="008A7D23">
            <w:r w:rsidRPr="0097707C">
              <w:t>+61</w:t>
            </w:r>
            <w:r>
              <w:t xml:space="preserve"> (0)</w:t>
            </w:r>
          </w:p>
        </w:tc>
        <w:tc>
          <w:tcPr>
            <w:tcW w:w="3198" w:type="dxa"/>
          </w:tcPr>
          <w:p w14:paraId="7A686440" w14:textId="77777777" w:rsidR="008A7D23" w:rsidRPr="000A5D3A" w:rsidRDefault="008A7D23" w:rsidP="0097707C">
            <w:pPr>
              <w:rPr>
                <w:rStyle w:val="normaltextrun"/>
                <w:rFonts w:ascii="Source Sans Pro" w:eastAsia="Times New Roman" w:hAnsi="Source Sans Pro" w:cs="Segoe UI"/>
                <w:b/>
                <w:bCs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0A5D3A">
              <w:rPr>
                <w:rStyle w:val="normaltextrun"/>
                <w:rFonts w:ascii="Source Sans Pro" w:eastAsia="Times New Roman" w:hAnsi="Source Sans Pro" w:cs="Segoe UI"/>
                <w:b/>
                <w:bCs/>
                <w:kern w:val="0"/>
                <w:sz w:val="20"/>
                <w:szCs w:val="20"/>
                <w:lang w:val="en-GB" w:eastAsia="zh-CN"/>
                <w14:ligatures w14:val="none"/>
              </w:rPr>
              <w:t>David Bartolo (MIP)</w:t>
            </w:r>
          </w:p>
          <w:p w14:paraId="11DAF08D" w14:textId="77777777" w:rsidR="008A7D23" w:rsidRPr="00FD6592" w:rsidRDefault="008A7D23" w:rsidP="0097707C">
            <w:pPr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FD6592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Head Coach Data School Australia</w:t>
            </w:r>
          </w:p>
          <w:p w14:paraId="08834975" w14:textId="174B0A19" w:rsidR="008A7D23" w:rsidRDefault="008A7D23" w:rsidP="0097707C">
            <w:r w:rsidRPr="00FD6592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+61 (0) 438 073 639</w:t>
            </w:r>
          </w:p>
        </w:tc>
      </w:tr>
    </w:tbl>
    <w:p w14:paraId="1C90A9DE" w14:textId="77777777" w:rsidR="000B0D65" w:rsidRDefault="000B0D65"/>
    <w:p w14:paraId="5A52CD67" w14:textId="77777777" w:rsidR="008A7D23" w:rsidRPr="000A5D3A" w:rsidRDefault="008A7D23" w:rsidP="008A7D23">
      <w:pPr>
        <w:pStyle w:val="Heading3"/>
        <w:pBdr>
          <w:bottom w:val="single" w:sz="8" w:space="1" w:color="4472C4" w:themeColor="accent1"/>
        </w:pBdr>
        <w:rPr>
          <w:rStyle w:val="normaltextrun"/>
          <w:rFonts w:ascii="Source Sans Pro" w:hAnsi="Source Sans Pro" w:cs="Segoe UI"/>
          <w:sz w:val="20"/>
          <w:szCs w:val="20"/>
          <w:lang w:val="en-GB"/>
        </w:rPr>
      </w:pPr>
      <w:r w:rsidRPr="000A5D3A">
        <w:rPr>
          <w:rStyle w:val="normaltextrun"/>
          <w:rFonts w:ascii="Source Sans Pro" w:hAnsi="Source Sans Pro" w:cs="Segoe UI"/>
          <w:sz w:val="20"/>
          <w:szCs w:val="20"/>
          <w:lang w:val="en-GB"/>
        </w:rPr>
        <w:lastRenderedPageBreak/>
        <w:t>Employment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A7D23" w14:paraId="5424E3F2" w14:textId="77777777" w:rsidTr="00D9452B">
        <w:tc>
          <w:tcPr>
            <w:tcW w:w="4508" w:type="dxa"/>
          </w:tcPr>
          <w:p w14:paraId="359EC841" w14:textId="77777777" w:rsidR="008A7D23" w:rsidRPr="000A5D3A" w:rsidRDefault="008A7D23" w:rsidP="00D9452B">
            <w:pPr>
              <w:pStyle w:val="paragraph"/>
              <w:spacing w:before="160" w:beforeAutospacing="0" w:after="80" w:afterAutospacing="0"/>
              <w:jc w:val="both"/>
              <w:textAlignment w:val="baseline"/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sz w:val="20"/>
                <w:szCs w:val="20"/>
                <w:lang w:val="en-GB"/>
              </w:rPr>
              <w:t xml:space="preserve"> </w:t>
            </w:r>
            <w:r w:rsidRPr="000A5D3A"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Director, Business Analytics</w:t>
            </w: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 @ JLL</w:t>
            </w:r>
          </w:p>
        </w:tc>
        <w:tc>
          <w:tcPr>
            <w:tcW w:w="4508" w:type="dxa"/>
          </w:tcPr>
          <w:p w14:paraId="2775254E" w14:textId="77777777" w:rsidR="008A7D23" w:rsidRPr="000A5D3A" w:rsidRDefault="008A7D23" w:rsidP="00D9452B">
            <w:pPr>
              <w:pStyle w:val="paragraph"/>
              <w:spacing w:before="160" w:beforeAutospacing="0" w:after="80" w:afterAutospacing="0"/>
              <w:jc w:val="right"/>
              <w:textAlignment w:val="baseline"/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</w:pPr>
            <w:r w:rsidRPr="000A5D3A"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June 2019 – Present</w:t>
            </w:r>
          </w:p>
        </w:tc>
      </w:tr>
    </w:tbl>
    <w:p w14:paraId="2649A71D" w14:textId="77777777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 xml:space="preserve">Lead </w:t>
      </w:r>
      <w:r>
        <w:rPr>
          <w:rFonts w:ascii="Source Sans Pro" w:hAnsi="Source Sans Pro"/>
          <w:sz w:val="20"/>
          <w:szCs w:val="20"/>
        </w:rPr>
        <w:t xml:space="preserve">Business intelligence </w:t>
      </w:r>
      <w:r w:rsidRPr="0036060D">
        <w:rPr>
          <w:rFonts w:ascii="Source Sans Pro" w:hAnsi="Source Sans Pro"/>
          <w:sz w:val="20"/>
          <w:szCs w:val="20"/>
        </w:rPr>
        <w:t xml:space="preserve">team comprising of analysts, visual design specialists, and database </w:t>
      </w:r>
      <w:proofErr w:type="gramStart"/>
      <w:r w:rsidRPr="0036060D">
        <w:rPr>
          <w:rFonts w:ascii="Source Sans Pro" w:hAnsi="Source Sans Pro"/>
          <w:sz w:val="20"/>
          <w:szCs w:val="20"/>
        </w:rPr>
        <w:t>engineers</w:t>
      </w:r>
      <w:proofErr w:type="gramEnd"/>
    </w:p>
    <w:p w14:paraId="729CC219" w14:textId="77777777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>Manag</w:t>
      </w:r>
      <w:r>
        <w:rPr>
          <w:rFonts w:ascii="Source Sans Pro" w:hAnsi="Source Sans Pro"/>
          <w:sz w:val="20"/>
          <w:szCs w:val="20"/>
        </w:rPr>
        <w:t>e</w:t>
      </w:r>
      <w:r w:rsidRPr="0036060D">
        <w:rPr>
          <w:rFonts w:ascii="Source Sans Pro" w:hAnsi="Source Sans Pro"/>
          <w:sz w:val="20"/>
          <w:szCs w:val="20"/>
        </w:rPr>
        <w:t xml:space="preserve"> broad base of customers and clients from account executives, government relationship directors, and government </w:t>
      </w:r>
      <w:proofErr w:type="gramStart"/>
      <w:r w:rsidRPr="0036060D">
        <w:rPr>
          <w:rFonts w:ascii="Source Sans Pro" w:hAnsi="Source Sans Pro"/>
          <w:sz w:val="20"/>
          <w:szCs w:val="20"/>
        </w:rPr>
        <w:t>representatives</w:t>
      </w:r>
      <w:proofErr w:type="gramEnd"/>
    </w:p>
    <w:p w14:paraId="02CF2CA0" w14:textId="59180E74" w:rsidR="008A7D23" w:rsidRPr="0036060D" w:rsidRDefault="006161C0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Scope,</w:t>
      </w:r>
      <w:r w:rsidR="00B50F72">
        <w:rPr>
          <w:rFonts w:ascii="Source Sans Pro" w:hAnsi="Source Sans Pro"/>
          <w:sz w:val="20"/>
          <w:szCs w:val="20"/>
        </w:rPr>
        <w:t xml:space="preserve"> define, and l</w:t>
      </w:r>
      <w:r w:rsidR="008A7D23" w:rsidRPr="0036060D">
        <w:rPr>
          <w:rFonts w:ascii="Source Sans Pro" w:hAnsi="Source Sans Pro"/>
          <w:sz w:val="20"/>
          <w:szCs w:val="20"/>
        </w:rPr>
        <w:t xml:space="preserve">ead delivery of all </w:t>
      </w:r>
      <w:r w:rsidR="00B50F72">
        <w:rPr>
          <w:rFonts w:ascii="Source Sans Pro" w:hAnsi="Source Sans Pro"/>
          <w:sz w:val="20"/>
          <w:szCs w:val="20"/>
        </w:rPr>
        <w:t xml:space="preserve">dashboards and reports across </w:t>
      </w:r>
      <w:r w:rsidR="008A7D23" w:rsidRPr="0036060D">
        <w:rPr>
          <w:rFonts w:ascii="Source Sans Pro" w:hAnsi="Source Sans Pro"/>
          <w:sz w:val="20"/>
          <w:szCs w:val="20"/>
        </w:rPr>
        <w:t xml:space="preserve">WoAG, </w:t>
      </w:r>
      <w:r w:rsidR="008A7D23">
        <w:rPr>
          <w:rFonts w:ascii="Source Sans Pro" w:hAnsi="Source Sans Pro"/>
          <w:sz w:val="20"/>
          <w:szCs w:val="20"/>
        </w:rPr>
        <w:t>Defence</w:t>
      </w:r>
      <w:r w:rsidR="008A7D23" w:rsidRPr="0036060D">
        <w:rPr>
          <w:rFonts w:ascii="Source Sans Pro" w:hAnsi="Source Sans Pro"/>
          <w:sz w:val="20"/>
          <w:szCs w:val="20"/>
        </w:rPr>
        <w:t>, DTFV, DFAT</w:t>
      </w:r>
      <w:r w:rsidR="008A7D23">
        <w:rPr>
          <w:rFonts w:ascii="Source Sans Pro" w:hAnsi="Source Sans Pro"/>
          <w:sz w:val="20"/>
          <w:szCs w:val="20"/>
        </w:rPr>
        <w:t>, and Telstra</w:t>
      </w:r>
    </w:p>
    <w:p w14:paraId="60EFAD32" w14:textId="6E403096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>Defin</w:t>
      </w:r>
      <w:r>
        <w:rPr>
          <w:rFonts w:ascii="Source Sans Pro" w:hAnsi="Source Sans Pro"/>
          <w:sz w:val="20"/>
          <w:szCs w:val="20"/>
        </w:rPr>
        <w:t>e</w:t>
      </w:r>
      <w:r w:rsidRPr="0036060D">
        <w:rPr>
          <w:rFonts w:ascii="Source Sans Pro" w:hAnsi="Source Sans Pro"/>
          <w:sz w:val="20"/>
          <w:szCs w:val="20"/>
        </w:rPr>
        <w:t xml:space="preserve"> processes to </w:t>
      </w:r>
      <w:r>
        <w:rPr>
          <w:rFonts w:ascii="Source Sans Pro" w:hAnsi="Source Sans Pro"/>
          <w:sz w:val="20"/>
          <w:szCs w:val="20"/>
        </w:rPr>
        <w:t xml:space="preserve">enable </w:t>
      </w:r>
      <w:r w:rsidR="00587A7F">
        <w:rPr>
          <w:rFonts w:ascii="Source Sans Pro" w:hAnsi="Source Sans Pro"/>
          <w:sz w:val="20"/>
          <w:szCs w:val="20"/>
        </w:rPr>
        <w:t xml:space="preserve">governance and </w:t>
      </w:r>
      <w:r w:rsidRPr="0036060D">
        <w:rPr>
          <w:rFonts w:ascii="Source Sans Pro" w:hAnsi="Source Sans Pro"/>
          <w:sz w:val="20"/>
          <w:szCs w:val="20"/>
        </w:rPr>
        <w:t xml:space="preserve">standardisation </w:t>
      </w:r>
      <w:r w:rsidR="00587A7F">
        <w:rPr>
          <w:rFonts w:ascii="Source Sans Pro" w:hAnsi="Source Sans Pro"/>
          <w:sz w:val="20"/>
          <w:szCs w:val="20"/>
        </w:rPr>
        <w:t xml:space="preserve">across teams to maximise ROI and </w:t>
      </w:r>
      <w:r w:rsidR="00D02D17">
        <w:rPr>
          <w:rFonts w:ascii="Source Sans Pro" w:hAnsi="Source Sans Pro"/>
          <w:sz w:val="20"/>
          <w:szCs w:val="20"/>
        </w:rPr>
        <w:t xml:space="preserve">knowledge </w:t>
      </w:r>
      <w:proofErr w:type="gramStart"/>
      <w:r w:rsidR="00D02D17">
        <w:rPr>
          <w:rFonts w:ascii="Source Sans Pro" w:hAnsi="Source Sans Pro"/>
          <w:sz w:val="20"/>
          <w:szCs w:val="20"/>
        </w:rPr>
        <w:t>sharing</w:t>
      </w:r>
      <w:proofErr w:type="gramEnd"/>
    </w:p>
    <w:p w14:paraId="1B515A8C" w14:textId="15BB9013" w:rsidR="008A7D23" w:rsidRPr="0036060D" w:rsidRDefault="008A7D23" w:rsidP="006D6CB9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Setup and lead short term project teams for technical solutions across APAC</w:t>
      </w:r>
      <w:r w:rsidR="006D6CB9">
        <w:rPr>
          <w:rFonts w:ascii="Source Sans Pro" w:hAnsi="Source Sans Pro"/>
          <w:sz w:val="20"/>
          <w:szCs w:val="20"/>
        </w:rPr>
        <w:t xml:space="preserve">, while exploring new </w:t>
      </w:r>
      <w:r>
        <w:rPr>
          <w:rFonts w:ascii="Source Sans Pro" w:hAnsi="Source Sans Pro"/>
          <w:sz w:val="20"/>
          <w:szCs w:val="20"/>
        </w:rPr>
        <w:t>tools and techniques to better serve our clients (</w:t>
      </w:r>
      <w:proofErr w:type="spellStart"/>
      <w:r>
        <w:rPr>
          <w:rFonts w:ascii="Source Sans Pro" w:hAnsi="Source Sans Pro"/>
          <w:sz w:val="20"/>
          <w:szCs w:val="20"/>
        </w:rPr>
        <w:t>GenAI</w:t>
      </w:r>
      <w:proofErr w:type="spellEnd"/>
      <w:r>
        <w:rPr>
          <w:rFonts w:ascii="Source Sans Pro" w:hAnsi="Source Sans Pro"/>
          <w:sz w:val="20"/>
          <w:szCs w:val="20"/>
        </w:rPr>
        <w:t xml:space="preserve"> etc.)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059"/>
      </w:tblGrid>
      <w:tr w:rsidR="008A7D23" w:rsidRPr="000A5D3A" w14:paraId="0425CA56" w14:textId="77777777" w:rsidTr="00D9452B">
        <w:tc>
          <w:tcPr>
            <w:tcW w:w="4957" w:type="dxa"/>
          </w:tcPr>
          <w:p w14:paraId="1B0B5DA4" w14:textId="77777777" w:rsidR="008A7D23" w:rsidRPr="000A5D3A" w:rsidRDefault="008A7D23" w:rsidP="00D9452B">
            <w:pPr>
              <w:pStyle w:val="paragraph"/>
              <w:spacing w:before="160" w:beforeAutospacing="0" w:after="80" w:afterAutospacing="0"/>
              <w:jc w:val="both"/>
              <w:textAlignment w:val="baseline"/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Senior Analytics Consultant @ MIP</w:t>
            </w:r>
          </w:p>
        </w:tc>
        <w:tc>
          <w:tcPr>
            <w:tcW w:w="4059" w:type="dxa"/>
          </w:tcPr>
          <w:p w14:paraId="1E141992" w14:textId="77777777" w:rsidR="008A7D23" w:rsidRPr="000A5D3A" w:rsidRDefault="008A7D23" w:rsidP="00D9452B">
            <w:pPr>
              <w:pStyle w:val="paragraph"/>
              <w:spacing w:before="160" w:beforeAutospacing="0" w:after="80" w:afterAutospacing="0"/>
              <w:jc w:val="right"/>
              <w:textAlignment w:val="baseline"/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September 2017 to June 2019</w:t>
            </w:r>
          </w:p>
        </w:tc>
      </w:tr>
    </w:tbl>
    <w:p w14:paraId="38D005FB" w14:textId="373AA6F2" w:rsidR="008A7D23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Lead hybrid client and consultant project teams to deliver analytic projects and system </w:t>
      </w:r>
      <w:proofErr w:type="gramStart"/>
      <w:r w:rsidR="001D6199">
        <w:rPr>
          <w:rFonts w:ascii="Source Sans Pro" w:hAnsi="Source Sans Pro"/>
          <w:sz w:val="20"/>
          <w:szCs w:val="20"/>
        </w:rPr>
        <w:t>integrations</w:t>
      </w:r>
      <w:proofErr w:type="gramEnd"/>
    </w:p>
    <w:p w14:paraId="1F8245A1" w14:textId="176E0408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Author </w:t>
      </w:r>
      <w:r w:rsidRPr="0036060D">
        <w:rPr>
          <w:rFonts w:ascii="Source Sans Pro" w:hAnsi="Source Sans Pro"/>
          <w:sz w:val="20"/>
          <w:szCs w:val="20"/>
        </w:rPr>
        <w:t>Solution design</w:t>
      </w:r>
      <w:r w:rsidR="001D6199">
        <w:rPr>
          <w:rFonts w:ascii="Source Sans Pro" w:hAnsi="Source Sans Pro"/>
          <w:sz w:val="20"/>
          <w:szCs w:val="20"/>
        </w:rPr>
        <w:t xml:space="preserve">, develop </w:t>
      </w:r>
      <w:r>
        <w:rPr>
          <w:rFonts w:ascii="Source Sans Pro" w:hAnsi="Source Sans Pro"/>
          <w:sz w:val="20"/>
          <w:szCs w:val="20"/>
        </w:rPr>
        <w:t xml:space="preserve">systems </w:t>
      </w:r>
      <w:r w:rsidRPr="0036060D">
        <w:rPr>
          <w:rFonts w:ascii="Source Sans Pro" w:hAnsi="Source Sans Pro"/>
          <w:sz w:val="20"/>
          <w:szCs w:val="20"/>
        </w:rPr>
        <w:t>implementation</w:t>
      </w:r>
      <w:r>
        <w:rPr>
          <w:rFonts w:ascii="Source Sans Pro" w:hAnsi="Source Sans Pro"/>
          <w:sz w:val="20"/>
          <w:szCs w:val="20"/>
        </w:rPr>
        <w:t>s</w:t>
      </w:r>
      <w:r w:rsidR="001D6199">
        <w:rPr>
          <w:rFonts w:ascii="Source Sans Pro" w:hAnsi="Source Sans Pro"/>
          <w:sz w:val="20"/>
          <w:szCs w:val="20"/>
        </w:rPr>
        <w:t xml:space="preserve">, and deliver training as part of change management </w:t>
      </w:r>
      <w:proofErr w:type="gramStart"/>
      <w:r w:rsidR="001D6199">
        <w:rPr>
          <w:rFonts w:ascii="Source Sans Pro" w:hAnsi="Source Sans Pro"/>
          <w:sz w:val="20"/>
          <w:szCs w:val="20"/>
        </w:rPr>
        <w:t>efforts</w:t>
      </w:r>
      <w:proofErr w:type="gramEnd"/>
    </w:p>
    <w:p w14:paraId="63B5E3FD" w14:textId="77777777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 xml:space="preserve">Liaise with customers providing estimates on technical deliveries, product and project support, and training on deployed data </w:t>
      </w:r>
      <w:proofErr w:type="gramStart"/>
      <w:r w:rsidRPr="0036060D">
        <w:rPr>
          <w:rFonts w:ascii="Source Sans Pro" w:hAnsi="Source Sans Pro"/>
          <w:sz w:val="20"/>
          <w:szCs w:val="20"/>
        </w:rPr>
        <w:t>products</w:t>
      </w:r>
      <w:proofErr w:type="gramEnd"/>
    </w:p>
    <w:p w14:paraId="53F84B15" w14:textId="77777777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>Develop data products in Alteryx, SQL, Python, and Tableau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059"/>
      </w:tblGrid>
      <w:tr w:rsidR="008A7D23" w:rsidRPr="000A5D3A" w14:paraId="2328ADA1" w14:textId="77777777" w:rsidTr="00D9452B">
        <w:tc>
          <w:tcPr>
            <w:tcW w:w="4957" w:type="dxa"/>
          </w:tcPr>
          <w:p w14:paraId="77654D3A" w14:textId="77777777" w:rsidR="008A7D23" w:rsidRPr="000A5D3A" w:rsidRDefault="008A7D23" w:rsidP="00D9452B">
            <w:pPr>
              <w:pStyle w:val="paragraph"/>
              <w:spacing w:before="160" w:beforeAutospacing="0" w:after="80" w:afterAutospacing="0"/>
              <w:jc w:val="both"/>
              <w:textAlignment w:val="baseline"/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Senior Analyst, Supply Strategy @ </w:t>
            </w:r>
            <w:proofErr w:type="spellStart"/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nbn</w:t>
            </w:r>
            <w:proofErr w:type="spellEnd"/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 xml:space="preserve"> co </w:t>
            </w:r>
          </w:p>
        </w:tc>
        <w:tc>
          <w:tcPr>
            <w:tcW w:w="4059" w:type="dxa"/>
          </w:tcPr>
          <w:p w14:paraId="045099CB" w14:textId="77777777" w:rsidR="008A7D23" w:rsidRPr="000A5D3A" w:rsidRDefault="008A7D23" w:rsidP="00D9452B">
            <w:pPr>
              <w:pStyle w:val="paragraph"/>
              <w:spacing w:before="160" w:beforeAutospacing="0" w:after="80" w:afterAutospacing="0"/>
              <w:jc w:val="right"/>
              <w:textAlignment w:val="baseline"/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September 2012 to September 2017</w:t>
            </w:r>
          </w:p>
        </w:tc>
      </w:tr>
    </w:tbl>
    <w:p w14:paraId="11461FF1" w14:textId="59F2A028" w:rsidR="00F342D8" w:rsidRPr="00F342D8" w:rsidRDefault="00F342D8" w:rsidP="00F342D8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 xml:space="preserve">Lead developer for national spares strategy, leveraging optimisation models to determine spares holdings levels nationally, and drive procurement via a forward-looking purchasing </w:t>
      </w:r>
      <w:proofErr w:type="gramStart"/>
      <w:r w:rsidRPr="0036060D">
        <w:rPr>
          <w:rFonts w:ascii="Source Sans Pro" w:hAnsi="Source Sans Pro"/>
          <w:sz w:val="20"/>
          <w:szCs w:val="20"/>
        </w:rPr>
        <w:t>plan</w:t>
      </w:r>
      <w:proofErr w:type="gramEnd"/>
    </w:p>
    <w:p w14:paraId="4F680BD0" w14:textId="659A1C27" w:rsidR="00F342D8" w:rsidRDefault="00F342D8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 xml:space="preserve">Project lead for national unmanned spares trial sites delivering over $60k reduction in operating costs in the first 3 </w:t>
      </w:r>
      <w:proofErr w:type="gramStart"/>
      <w:r w:rsidRPr="0036060D">
        <w:rPr>
          <w:rFonts w:ascii="Source Sans Pro" w:hAnsi="Source Sans Pro"/>
          <w:sz w:val="20"/>
          <w:szCs w:val="20"/>
        </w:rPr>
        <w:t>months</w:t>
      </w:r>
      <w:proofErr w:type="gramEnd"/>
    </w:p>
    <w:p w14:paraId="292ABC40" w14:textId="73FBCC04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 xml:space="preserve">Build and maintain forecasting and optimisation tooling to characterise supply chain </w:t>
      </w:r>
      <w:proofErr w:type="gramStart"/>
      <w:r w:rsidRPr="0036060D">
        <w:rPr>
          <w:rFonts w:ascii="Source Sans Pro" w:hAnsi="Source Sans Pro"/>
          <w:sz w:val="20"/>
          <w:szCs w:val="20"/>
        </w:rPr>
        <w:t>spend</w:t>
      </w:r>
      <w:proofErr w:type="gramEnd"/>
    </w:p>
    <w:p w14:paraId="62FBAA01" w14:textId="20E8C662" w:rsidR="008A7D23" w:rsidRPr="00F342D8" w:rsidRDefault="008A7D23" w:rsidP="00F342D8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 xml:space="preserve">Process and solution design lead for new projects with 3PL and telco </w:t>
      </w:r>
      <w:proofErr w:type="gramStart"/>
      <w:r w:rsidRPr="0036060D">
        <w:rPr>
          <w:rFonts w:ascii="Source Sans Pro" w:hAnsi="Source Sans Pro"/>
          <w:sz w:val="20"/>
          <w:szCs w:val="20"/>
        </w:rPr>
        <w:t>partners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18"/>
      </w:tblGrid>
      <w:tr w:rsidR="008A7D23" w:rsidRPr="000A5D3A" w14:paraId="11963611" w14:textId="77777777" w:rsidTr="00D9452B">
        <w:tc>
          <w:tcPr>
            <w:tcW w:w="5098" w:type="dxa"/>
          </w:tcPr>
          <w:p w14:paraId="6BB5E438" w14:textId="77777777" w:rsidR="008A7D23" w:rsidRPr="000A5D3A" w:rsidRDefault="008A7D23" w:rsidP="00D9452B">
            <w:pPr>
              <w:pStyle w:val="paragraph"/>
              <w:spacing w:before="160" w:beforeAutospacing="0" w:after="80" w:afterAutospacing="0"/>
              <w:jc w:val="both"/>
              <w:textAlignment w:val="baseline"/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Electronic Engineer @ CSE Semaphore (</w:t>
            </w:r>
            <w:proofErr w:type="spellStart"/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Servelec</w:t>
            </w:r>
            <w:proofErr w:type="spellEnd"/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918" w:type="dxa"/>
          </w:tcPr>
          <w:p w14:paraId="3C011BD9" w14:textId="77777777" w:rsidR="008A7D23" w:rsidRPr="000A5D3A" w:rsidRDefault="008A7D23" w:rsidP="00D9452B">
            <w:pPr>
              <w:pStyle w:val="paragraph"/>
              <w:spacing w:before="160" w:beforeAutospacing="0" w:after="80" w:afterAutospacing="0"/>
              <w:jc w:val="right"/>
              <w:textAlignment w:val="baseline"/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="Source Sans Pro" w:hAnsi="Source Sans Pro" w:cs="Segoe UI"/>
                <w:b/>
                <w:bCs/>
                <w:sz w:val="20"/>
                <w:szCs w:val="20"/>
                <w:lang w:val="en-GB"/>
              </w:rPr>
              <w:t>March 2010 to September 2012</w:t>
            </w:r>
          </w:p>
        </w:tc>
      </w:tr>
    </w:tbl>
    <w:p w14:paraId="4AA4E2AC" w14:textId="77777777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>Authored hardware manual for entire ‘Kingfisher’ product range</w:t>
      </w:r>
    </w:p>
    <w:p w14:paraId="3298B8AD" w14:textId="77777777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>Processed procedure changes as per ISO9001</w:t>
      </w:r>
    </w:p>
    <w:p w14:paraId="27F196AC" w14:textId="77777777" w:rsidR="008A7D23" w:rsidRPr="0036060D" w:rsidRDefault="008A7D23" w:rsidP="008A7D23">
      <w:pPr>
        <w:pStyle w:val="ListParagraph"/>
        <w:numPr>
          <w:ilvl w:val="0"/>
          <w:numId w:val="1"/>
        </w:numPr>
        <w:ind w:left="414" w:hanging="357"/>
        <w:rPr>
          <w:rFonts w:ascii="Source Sans Pro" w:hAnsi="Source Sans Pro"/>
          <w:sz w:val="20"/>
          <w:szCs w:val="20"/>
        </w:rPr>
      </w:pPr>
      <w:r w:rsidRPr="0036060D">
        <w:rPr>
          <w:rFonts w:ascii="Source Sans Pro" w:hAnsi="Source Sans Pro"/>
          <w:sz w:val="20"/>
          <w:szCs w:val="20"/>
        </w:rPr>
        <w:t xml:space="preserve">Assisted in IP handover to Chinese engineering team at Belgium </w:t>
      </w:r>
      <w:proofErr w:type="gramStart"/>
      <w:r w:rsidRPr="0036060D">
        <w:rPr>
          <w:rFonts w:ascii="Source Sans Pro" w:hAnsi="Source Sans Pro"/>
          <w:sz w:val="20"/>
          <w:szCs w:val="20"/>
        </w:rPr>
        <w:t>office</w:t>
      </w:r>
      <w:proofErr w:type="gramEnd"/>
    </w:p>
    <w:p w14:paraId="7A2E0572" w14:textId="77777777" w:rsidR="008A7D23" w:rsidRPr="0036060D" w:rsidRDefault="008A7D23" w:rsidP="008A7D23">
      <w:pPr>
        <w:pStyle w:val="Heading3"/>
        <w:pBdr>
          <w:bottom w:val="single" w:sz="8" w:space="1" w:color="4472C4" w:themeColor="accent1"/>
        </w:pBdr>
        <w:rPr>
          <w:rStyle w:val="normaltextrun"/>
          <w:rFonts w:ascii="Source Sans Pro" w:hAnsi="Source Sans Pro" w:cs="Segoe UI"/>
          <w:sz w:val="20"/>
          <w:szCs w:val="20"/>
          <w:lang w:val="en-GB"/>
        </w:rPr>
      </w:pPr>
      <w:r w:rsidRPr="0036060D">
        <w:rPr>
          <w:rStyle w:val="normaltextrun"/>
          <w:rFonts w:ascii="Source Sans Pro" w:hAnsi="Source Sans Pro" w:cs="Segoe UI"/>
          <w:sz w:val="20"/>
          <w:szCs w:val="20"/>
          <w:lang w:val="en-GB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8A7D23" w14:paraId="5C3B67A5" w14:textId="77777777" w:rsidTr="00D9452B">
        <w:tc>
          <w:tcPr>
            <w:tcW w:w="6658" w:type="dxa"/>
          </w:tcPr>
          <w:p w14:paraId="5293D2C2" w14:textId="77777777" w:rsidR="008A7D23" w:rsidRPr="0036060D" w:rsidRDefault="008A7D23" w:rsidP="00D9452B">
            <w:pPr>
              <w:spacing w:before="60" w:after="60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Bachelor of Electronic Engineering (Honours) majoring in control systems</w:t>
            </w:r>
          </w:p>
        </w:tc>
        <w:tc>
          <w:tcPr>
            <w:tcW w:w="2358" w:type="dxa"/>
          </w:tcPr>
          <w:p w14:paraId="0C094F7F" w14:textId="77777777" w:rsidR="008A7D23" w:rsidRPr="0036060D" w:rsidRDefault="008A7D23" w:rsidP="00D9452B">
            <w:pPr>
              <w:spacing w:before="60" w:after="60"/>
              <w:jc w:val="right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Latrobe University 2010</w:t>
            </w:r>
          </w:p>
        </w:tc>
      </w:tr>
      <w:tr w:rsidR="008A7D23" w14:paraId="666EE9CF" w14:textId="77777777" w:rsidTr="00D9452B">
        <w:tc>
          <w:tcPr>
            <w:tcW w:w="6658" w:type="dxa"/>
          </w:tcPr>
          <w:p w14:paraId="6E03FABB" w14:textId="77777777" w:rsidR="008A7D23" w:rsidRPr="0036060D" w:rsidRDefault="008A7D23" w:rsidP="00D9452B">
            <w:pPr>
              <w:spacing w:before="60" w:after="60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Developing Data Products</w:t>
            </w:r>
          </w:p>
        </w:tc>
        <w:tc>
          <w:tcPr>
            <w:tcW w:w="2358" w:type="dxa"/>
          </w:tcPr>
          <w:p w14:paraId="29B6D750" w14:textId="77777777" w:rsidR="008A7D23" w:rsidRPr="0036060D" w:rsidRDefault="008A7D23" w:rsidP="00D9452B">
            <w:pPr>
              <w:spacing w:before="60" w:after="60"/>
              <w:jc w:val="right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Coursera online 2013</w:t>
            </w:r>
          </w:p>
        </w:tc>
      </w:tr>
      <w:tr w:rsidR="008A7D23" w14:paraId="54879736" w14:textId="77777777" w:rsidTr="00D9452B">
        <w:tc>
          <w:tcPr>
            <w:tcW w:w="6658" w:type="dxa"/>
          </w:tcPr>
          <w:p w14:paraId="480C8A8F" w14:textId="77777777" w:rsidR="008A7D23" w:rsidRPr="0036060D" w:rsidRDefault="008A7D23" w:rsidP="00D9452B">
            <w:pPr>
              <w:spacing w:before="60" w:after="60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Exploratory Data Analysis</w:t>
            </w:r>
          </w:p>
        </w:tc>
        <w:tc>
          <w:tcPr>
            <w:tcW w:w="2358" w:type="dxa"/>
          </w:tcPr>
          <w:p w14:paraId="242C5A0E" w14:textId="77777777" w:rsidR="008A7D23" w:rsidRPr="0036060D" w:rsidRDefault="008A7D23" w:rsidP="00D9452B">
            <w:pPr>
              <w:spacing w:before="60" w:after="60"/>
              <w:jc w:val="right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Coursera online 2013</w:t>
            </w:r>
          </w:p>
        </w:tc>
      </w:tr>
      <w:tr w:rsidR="008A7D23" w14:paraId="25764746" w14:textId="77777777" w:rsidTr="00D9452B">
        <w:tc>
          <w:tcPr>
            <w:tcW w:w="6658" w:type="dxa"/>
          </w:tcPr>
          <w:p w14:paraId="70C0E16F" w14:textId="77777777" w:rsidR="008A7D23" w:rsidRPr="0036060D" w:rsidRDefault="008A7D23" w:rsidP="00D9452B">
            <w:pPr>
              <w:spacing w:before="60" w:after="60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Data Analysis and Statistical Inference</w:t>
            </w:r>
          </w:p>
        </w:tc>
        <w:tc>
          <w:tcPr>
            <w:tcW w:w="2358" w:type="dxa"/>
          </w:tcPr>
          <w:p w14:paraId="329551F7" w14:textId="77777777" w:rsidR="008A7D23" w:rsidRPr="0036060D" w:rsidRDefault="008A7D23" w:rsidP="00D9452B">
            <w:pPr>
              <w:spacing w:before="60" w:after="60"/>
              <w:jc w:val="right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Coursera online 2014</w:t>
            </w:r>
          </w:p>
        </w:tc>
      </w:tr>
      <w:tr w:rsidR="008A7D23" w14:paraId="38F6F788" w14:textId="77777777" w:rsidTr="00D9452B">
        <w:tc>
          <w:tcPr>
            <w:tcW w:w="6658" w:type="dxa"/>
          </w:tcPr>
          <w:p w14:paraId="45991A67" w14:textId="77777777" w:rsidR="008A7D23" w:rsidRPr="0036060D" w:rsidRDefault="008A7D23" w:rsidP="00D9452B">
            <w:pPr>
              <w:spacing w:before="60" w:after="60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PRINCE2 Foundation &amp; Practitioner</w:t>
            </w:r>
          </w:p>
        </w:tc>
        <w:tc>
          <w:tcPr>
            <w:tcW w:w="2358" w:type="dxa"/>
          </w:tcPr>
          <w:p w14:paraId="1D96B052" w14:textId="77777777" w:rsidR="008A7D23" w:rsidRPr="0036060D" w:rsidRDefault="008A7D23" w:rsidP="00D9452B">
            <w:pPr>
              <w:spacing w:before="60" w:after="60"/>
              <w:jc w:val="right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PM Partners 2015</w:t>
            </w:r>
          </w:p>
        </w:tc>
      </w:tr>
      <w:tr w:rsidR="008A7D23" w14:paraId="5F3FE9DB" w14:textId="77777777" w:rsidTr="00D9452B">
        <w:tc>
          <w:tcPr>
            <w:tcW w:w="6658" w:type="dxa"/>
          </w:tcPr>
          <w:p w14:paraId="7582E9A8" w14:textId="77777777" w:rsidR="008A7D23" w:rsidRPr="0036060D" w:rsidRDefault="008A7D23" w:rsidP="00D9452B">
            <w:pPr>
              <w:spacing w:before="60" w:after="60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Lean Six Sigma Green Belt</w:t>
            </w:r>
          </w:p>
        </w:tc>
        <w:tc>
          <w:tcPr>
            <w:tcW w:w="2358" w:type="dxa"/>
          </w:tcPr>
          <w:p w14:paraId="3A4AB649" w14:textId="77777777" w:rsidR="008A7D23" w:rsidRPr="0036060D" w:rsidRDefault="008A7D23" w:rsidP="00D9452B">
            <w:pPr>
              <w:spacing w:before="60" w:after="60"/>
              <w:jc w:val="right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Cardiff University 2016</w:t>
            </w:r>
          </w:p>
        </w:tc>
      </w:tr>
      <w:tr w:rsidR="008A7D23" w14:paraId="35BEE974" w14:textId="77777777" w:rsidTr="00D9452B">
        <w:tc>
          <w:tcPr>
            <w:tcW w:w="6658" w:type="dxa"/>
          </w:tcPr>
          <w:p w14:paraId="31FB6082" w14:textId="77777777" w:rsidR="008A7D23" w:rsidRPr="0036060D" w:rsidRDefault="008A7D23" w:rsidP="00D9452B">
            <w:pPr>
              <w:spacing w:before="60" w:after="60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Convolutional Neural Networks</w:t>
            </w:r>
          </w:p>
        </w:tc>
        <w:tc>
          <w:tcPr>
            <w:tcW w:w="2358" w:type="dxa"/>
          </w:tcPr>
          <w:p w14:paraId="13B22EED" w14:textId="77777777" w:rsidR="008A7D23" w:rsidRPr="0036060D" w:rsidRDefault="008A7D23" w:rsidP="00D9452B">
            <w:pPr>
              <w:spacing w:before="60" w:after="60"/>
              <w:jc w:val="right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Coursera online 2017</w:t>
            </w:r>
          </w:p>
        </w:tc>
      </w:tr>
      <w:tr w:rsidR="008A7D23" w14:paraId="0B467C79" w14:textId="77777777" w:rsidTr="00D9452B">
        <w:tc>
          <w:tcPr>
            <w:tcW w:w="6658" w:type="dxa"/>
          </w:tcPr>
          <w:p w14:paraId="780ED92F" w14:textId="77777777" w:rsidR="008A7D23" w:rsidRPr="0036060D" w:rsidRDefault="008A7D23" w:rsidP="00D9452B">
            <w:pPr>
              <w:spacing w:before="60" w:after="60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Alteryx Designer Core &amp; Advanced</w:t>
            </w:r>
          </w:p>
        </w:tc>
        <w:tc>
          <w:tcPr>
            <w:tcW w:w="2358" w:type="dxa"/>
          </w:tcPr>
          <w:p w14:paraId="6CAEDC4E" w14:textId="77777777" w:rsidR="008A7D23" w:rsidRPr="0036060D" w:rsidRDefault="008A7D23" w:rsidP="00D9452B">
            <w:pPr>
              <w:spacing w:before="60" w:after="60"/>
              <w:jc w:val="right"/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36060D">
              <w:rPr>
                <w:rStyle w:val="normaltextrun"/>
                <w:rFonts w:ascii="Source Sans Pro" w:eastAsia="Times New Roman" w:hAnsi="Source Sans Pro" w:cs="Segoe UI"/>
                <w:kern w:val="0"/>
                <w:sz w:val="20"/>
                <w:szCs w:val="20"/>
                <w:lang w:val="en-GB" w:eastAsia="zh-CN"/>
                <w14:ligatures w14:val="none"/>
              </w:rPr>
              <w:t>Alteryx 2018</w:t>
            </w:r>
          </w:p>
        </w:tc>
      </w:tr>
    </w:tbl>
    <w:p w14:paraId="21D6DABF" w14:textId="77777777" w:rsidR="008A7D23" w:rsidRDefault="008A7D23"/>
    <w:sectPr w:rsidR="008A7D23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75FC" w14:textId="77777777" w:rsidR="000479A3" w:rsidRDefault="000479A3" w:rsidP="0097707C">
      <w:pPr>
        <w:spacing w:after="0" w:line="240" w:lineRule="auto"/>
      </w:pPr>
      <w:r>
        <w:separator/>
      </w:r>
    </w:p>
  </w:endnote>
  <w:endnote w:type="continuationSeparator" w:id="0">
    <w:p w14:paraId="2BD70F31" w14:textId="77777777" w:rsidR="000479A3" w:rsidRDefault="000479A3" w:rsidP="0097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43CE8" w14:textId="77777777" w:rsidR="000479A3" w:rsidRDefault="000479A3" w:rsidP="0097707C">
      <w:pPr>
        <w:spacing w:after="0" w:line="240" w:lineRule="auto"/>
      </w:pPr>
      <w:r>
        <w:separator/>
      </w:r>
    </w:p>
  </w:footnote>
  <w:footnote w:type="continuationSeparator" w:id="0">
    <w:p w14:paraId="698B0347" w14:textId="77777777" w:rsidR="000479A3" w:rsidRDefault="000479A3" w:rsidP="0097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6508" w14:textId="77777777" w:rsidR="0097707C" w:rsidRDefault="0097707C" w:rsidP="0097707C">
    <w:pPr>
      <w:pStyle w:val="Heading1"/>
    </w:pPr>
    <w:r w:rsidRPr="00845BB2">
      <w:rPr>
        <w:sz w:val="40"/>
        <w:szCs w:val="40"/>
      </w:rPr>
      <w:t>CASEY MORTER</w:t>
    </w:r>
  </w:p>
  <w:p w14:paraId="37020AEC" w14:textId="2C44438F" w:rsidR="0097707C" w:rsidRDefault="0097707C" w:rsidP="0097707C">
    <w:pPr>
      <w:pStyle w:val="Heading2"/>
    </w:pPr>
    <w:r>
      <w:t>Director, Business Analytics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9689B"/>
    <w:multiLevelType w:val="hybridMultilevel"/>
    <w:tmpl w:val="C3180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7C"/>
    <w:rsid w:val="000479A3"/>
    <w:rsid w:val="00081C3A"/>
    <w:rsid w:val="000B0D65"/>
    <w:rsid w:val="000B7413"/>
    <w:rsid w:val="001B613A"/>
    <w:rsid w:val="001D6199"/>
    <w:rsid w:val="002F107E"/>
    <w:rsid w:val="00362E5F"/>
    <w:rsid w:val="005073DB"/>
    <w:rsid w:val="00515F9B"/>
    <w:rsid w:val="0051682F"/>
    <w:rsid w:val="00523753"/>
    <w:rsid w:val="00534751"/>
    <w:rsid w:val="00587A7F"/>
    <w:rsid w:val="0059671A"/>
    <w:rsid w:val="005C3EA8"/>
    <w:rsid w:val="006161C0"/>
    <w:rsid w:val="006D6CB9"/>
    <w:rsid w:val="00726684"/>
    <w:rsid w:val="0078134A"/>
    <w:rsid w:val="00844CC4"/>
    <w:rsid w:val="00873D8E"/>
    <w:rsid w:val="008A7D23"/>
    <w:rsid w:val="0097707C"/>
    <w:rsid w:val="00A31C83"/>
    <w:rsid w:val="00AB3947"/>
    <w:rsid w:val="00B03FE3"/>
    <w:rsid w:val="00B307CE"/>
    <w:rsid w:val="00B34B76"/>
    <w:rsid w:val="00B50F72"/>
    <w:rsid w:val="00B52E1D"/>
    <w:rsid w:val="00B727ED"/>
    <w:rsid w:val="00BA600C"/>
    <w:rsid w:val="00BA6B58"/>
    <w:rsid w:val="00BE2E00"/>
    <w:rsid w:val="00C20F87"/>
    <w:rsid w:val="00C25B63"/>
    <w:rsid w:val="00C7328F"/>
    <w:rsid w:val="00D02D17"/>
    <w:rsid w:val="00D66B27"/>
    <w:rsid w:val="00DC1ED6"/>
    <w:rsid w:val="00DF0D13"/>
    <w:rsid w:val="00E14540"/>
    <w:rsid w:val="00E457C6"/>
    <w:rsid w:val="00F3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B549"/>
  <w15:chartTrackingRefBased/>
  <w15:docId w15:val="{3EAF99E0-F706-488A-9C85-31AEDE6A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0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0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Cartoon">
    <w:name w:val="orange_Cartoon"/>
    <w:basedOn w:val="Normal"/>
    <w:link w:val="orangeCartoonChar"/>
    <w:autoRedefine/>
    <w:qFormat/>
    <w:rsid w:val="0059671A"/>
    <w:pPr>
      <w:spacing w:after="200" w:line="240" w:lineRule="auto"/>
    </w:pPr>
    <w:rPr>
      <w:rFonts w:ascii="Cavolini" w:hAnsi="Cavolini"/>
      <w:b/>
      <w:color w:val="538135" w:themeColor="accent6" w:themeShade="BF"/>
      <w:sz w:val="40"/>
    </w:rPr>
  </w:style>
  <w:style w:type="character" w:customStyle="1" w:styleId="orangeCartoonChar">
    <w:name w:val="orange_Cartoon Char"/>
    <w:basedOn w:val="DefaultParagraphFont"/>
    <w:link w:val="orangeCartoon"/>
    <w:rsid w:val="0059671A"/>
    <w:rPr>
      <w:rFonts w:ascii="Cavolini" w:hAnsi="Cavolini"/>
      <w:b/>
      <w:color w:val="538135" w:themeColor="accent6" w:themeShade="BF"/>
      <w:sz w:val="40"/>
    </w:rPr>
  </w:style>
  <w:style w:type="paragraph" w:styleId="Header">
    <w:name w:val="header"/>
    <w:basedOn w:val="Normal"/>
    <w:link w:val="HeaderChar"/>
    <w:uiPriority w:val="99"/>
    <w:unhideWhenUsed/>
    <w:rsid w:val="0097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7C"/>
  </w:style>
  <w:style w:type="paragraph" w:styleId="Footer">
    <w:name w:val="footer"/>
    <w:basedOn w:val="Normal"/>
    <w:link w:val="FooterChar"/>
    <w:uiPriority w:val="99"/>
    <w:unhideWhenUsed/>
    <w:rsid w:val="0097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07C"/>
  </w:style>
  <w:style w:type="character" w:customStyle="1" w:styleId="Heading1Char">
    <w:name w:val="Heading 1 Char"/>
    <w:basedOn w:val="DefaultParagraphFont"/>
    <w:link w:val="Heading1"/>
    <w:uiPriority w:val="9"/>
    <w:rsid w:val="00977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70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77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70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97707C"/>
  </w:style>
  <w:style w:type="paragraph" w:customStyle="1" w:styleId="paragraph">
    <w:name w:val="paragraph"/>
    <w:basedOn w:val="Normal"/>
    <w:rsid w:val="0097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977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linkedin.com/in/casey-morter-1ab7682b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sey.morter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sv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JLL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Morter, Casey</dc:creator>
  <cp:keywords/>
  <dc:description/>
  <cp:lastModifiedBy>Morter, Casey</cp:lastModifiedBy>
  <cp:revision>2</cp:revision>
  <dcterms:created xsi:type="dcterms:W3CDTF">2024-08-21T08:13:00Z</dcterms:created>
  <dcterms:modified xsi:type="dcterms:W3CDTF">2024-08-21T08:13:00Z</dcterms:modified>
</cp:coreProperties>
</file>